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60C" w:rsidRPr="009B360C" w:rsidRDefault="009B360C" w:rsidP="009B360C">
      <w:pPr>
        <w:spacing w:before="480" w:after="1" w:line="220" w:lineRule="atLeast"/>
        <w:jc w:val="center"/>
      </w:pPr>
      <w:r w:rsidRPr="009B360C">
        <w:rPr>
          <w:rFonts w:ascii="Calibri" w:hAnsi="Calibri" w:cs="Calibri"/>
          <w:b/>
          <w:sz w:val="38"/>
        </w:rPr>
        <w:t>Как рассчитывается среднегодовая стоимость основных фондов?</w:t>
      </w:r>
    </w:p>
    <w:p w:rsidR="009B360C" w:rsidRPr="009B360C" w:rsidRDefault="009B360C">
      <w:pPr>
        <w:spacing w:after="1" w:line="220" w:lineRule="atLeast"/>
        <w:jc w:val="both"/>
      </w:pPr>
    </w:p>
    <w:tbl>
      <w:tblPr>
        <w:tblW w:w="10207" w:type="dxa"/>
        <w:tblInd w:w="180" w:type="dxa"/>
        <w:tblBorders>
          <w:top w:val="nil"/>
          <w:left w:val="single" w:sz="24" w:space="0" w:color="FE9500"/>
          <w:bottom w:val="nil"/>
          <w:right w:val="nil"/>
          <w:insideH w:val="nil"/>
          <w:insideV w:val="nil"/>
        </w:tblBorders>
        <w:tblCellMar>
          <w:top w:w="180" w:type="dxa"/>
          <w:left w:w="180" w:type="dxa"/>
          <w:bottom w:w="180" w:type="dxa"/>
          <w:right w:w="180" w:type="dxa"/>
        </w:tblCellMar>
        <w:tblLook w:val="0000"/>
      </w:tblPr>
      <w:tblGrid>
        <w:gridCol w:w="10207"/>
      </w:tblGrid>
      <w:tr w:rsidR="009B360C" w:rsidRPr="009B360C">
        <w:tc>
          <w:tcPr>
            <w:tcW w:w="10207" w:type="dxa"/>
            <w:tcBorders>
              <w:top w:val="nil"/>
              <w:left w:val="single" w:sz="24" w:space="0" w:color="FE9500"/>
              <w:bottom w:val="nil"/>
              <w:right w:val="nil"/>
            </w:tcBorders>
            <w:shd w:val="clear" w:color="auto" w:fill="F2F4E6"/>
          </w:tcPr>
          <w:p w:rsidR="009B360C" w:rsidRPr="009B360C" w:rsidRDefault="009B360C">
            <w:pPr>
              <w:spacing w:after="1" w:line="220" w:lineRule="atLeast"/>
              <w:jc w:val="both"/>
            </w:pPr>
            <w:r w:rsidRPr="009B360C">
              <w:rPr>
                <w:rFonts w:ascii="Calibri" w:hAnsi="Calibri" w:cs="Calibri"/>
              </w:rPr>
              <w:t>Среднегодовая стоимость основных фондов определяется как частное от деления на 12 суммы учетных стоимостей основных средств за период с 1 февраля по 1 декабря и суммы стоимостей на 1 января и 31 декабря, деленных на 2.</w:t>
            </w:r>
          </w:p>
        </w:tc>
      </w:tr>
    </w:tbl>
    <w:p w:rsidR="009B360C" w:rsidRPr="009B360C" w:rsidRDefault="009B360C">
      <w:pPr>
        <w:spacing w:before="280" w:after="1" w:line="220" w:lineRule="atLeast"/>
        <w:jc w:val="both"/>
      </w:pPr>
      <w:r w:rsidRPr="009B360C">
        <w:rPr>
          <w:rFonts w:ascii="Calibri" w:hAnsi="Calibri" w:cs="Calibri"/>
        </w:rPr>
        <w:t>Понятие "</w:t>
      </w:r>
      <w:hyperlink r:id="rId7" w:history="1">
        <w:r w:rsidRPr="009B360C">
          <w:rPr>
            <w:rStyle w:val="a9"/>
            <w:rFonts w:ascii="Calibri" w:hAnsi="Calibri" w:cs="Calibri"/>
          </w:rPr>
          <w:t>основные средства</w:t>
        </w:r>
      </w:hyperlink>
      <w:r w:rsidRPr="009B360C">
        <w:rPr>
          <w:rFonts w:ascii="Calibri" w:hAnsi="Calibri" w:cs="Calibri"/>
        </w:rPr>
        <w:t>" используется в бухгалтерском и налоговом учете, "основные фонды" - в статистике и экономике.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К основным фондам относятся произведенные активы, подлежащие использованию неоднократно или постоянно в течение длительного периода времени, но не менее одного года для производства товаров и услуг (включая управленческие нужды) либо для предоставления в этих же целях другим организациям и гражданам за плату во временное владение и пользование или во временное пользование.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К основным фондам относятся следующие активы, отражаемые в бухгалтерском балансе (п. 5 Указаний, утв. Приказом Росстата от 29.11.2019 N 717 (далее - Указания N 717)):</w:t>
      </w:r>
    </w:p>
    <w:p w:rsidR="009B360C" w:rsidRPr="009B360C" w:rsidRDefault="009B360C">
      <w:pPr>
        <w:numPr>
          <w:ilvl w:val="0"/>
          <w:numId w:val="1"/>
        </w:num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из группы статей "Основные средства":</w:t>
      </w:r>
    </w:p>
    <w:p w:rsidR="009B360C" w:rsidRPr="009B360C" w:rsidRDefault="009B360C">
      <w:pPr>
        <w:spacing w:before="220" w:after="1" w:line="220" w:lineRule="atLeast"/>
        <w:ind w:left="540"/>
        <w:jc w:val="both"/>
      </w:pPr>
      <w:r w:rsidRPr="009B360C">
        <w:rPr>
          <w:rFonts w:ascii="Calibri" w:hAnsi="Calibri" w:cs="Calibri"/>
        </w:rPr>
        <w:t>- статья "здания, машины, оборудование и другие основные средства";</w:t>
      </w:r>
    </w:p>
    <w:p w:rsidR="009B360C" w:rsidRPr="009B360C" w:rsidRDefault="009B360C">
      <w:pPr>
        <w:spacing w:before="220" w:after="1" w:line="220" w:lineRule="atLeast"/>
        <w:ind w:left="540"/>
        <w:jc w:val="both"/>
      </w:pPr>
      <w:r w:rsidRPr="009B360C">
        <w:rPr>
          <w:rFonts w:ascii="Calibri" w:hAnsi="Calibri" w:cs="Calibri"/>
        </w:rPr>
        <w:t>- статья "незавершенное строительство" в части объектов, предназначенных для собственного использования или оплаченных заказчиком (если иное не оговорено в тексте Указаний);</w:t>
      </w:r>
    </w:p>
    <w:p w:rsidR="009B360C" w:rsidRPr="009B360C" w:rsidRDefault="009B360C">
      <w:pPr>
        <w:numPr>
          <w:ilvl w:val="0"/>
          <w:numId w:val="1"/>
        </w:num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"Доходные вложения в материальные ценности";</w:t>
      </w:r>
    </w:p>
    <w:p w:rsidR="009B360C" w:rsidRPr="009B360C" w:rsidRDefault="009B360C">
      <w:pPr>
        <w:numPr>
          <w:ilvl w:val="0"/>
          <w:numId w:val="1"/>
        </w:num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"Материальные поисковые активы";</w:t>
      </w:r>
    </w:p>
    <w:p w:rsidR="009B360C" w:rsidRPr="009B360C" w:rsidRDefault="009B360C">
      <w:pPr>
        <w:numPr>
          <w:ilvl w:val="0"/>
          <w:numId w:val="1"/>
        </w:num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 xml:space="preserve">из группы статей "Нематериальные активы" - активы, относящиеся к объектам интеллектуальной собственности и продуктам интеллектуальной деятельности, использование которых ограничено посредством юридической или другой защиты; а также те из них, на которые организации не имеют исключительных прав, учитываемые на </w:t>
      </w:r>
      <w:proofErr w:type="spellStart"/>
      <w:r w:rsidRPr="009B360C">
        <w:rPr>
          <w:rFonts w:ascii="Calibri" w:hAnsi="Calibri" w:cs="Calibri"/>
        </w:rPr>
        <w:t>забалансовом</w:t>
      </w:r>
      <w:proofErr w:type="spellEnd"/>
      <w:r w:rsidRPr="009B360C">
        <w:rPr>
          <w:rFonts w:ascii="Calibri" w:hAnsi="Calibri" w:cs="Calibri"/>
        </w:rPr>
        <w:t xml:space="preserve"> счете "Нематериальные активы, полученные в пользование" (в полной сумме расходов на создание, приобретение этих объектов, установку программных средств и других расходов) и при этом (одновременно) отражаемые на счете 97 "Расходы будущих периодов", с которого их стоимость в течение всего срока использования списывается на расходы;</w:t>
      </w:r>
    </w:p>
    <w:p w:rsidR="009B360C" w:rsidRPr="009B360C" w:rsidRDefault="009B360C">
      <w:pPr>
        <w:numPr>
          <w:ilvl w:val="0"/>
          <w:numId w:val="1"/>
        </w:num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"Результаты исследований и разработок";</w:t>
      </w:r>
    </w:p>
    <w:p w:rsidR="009B360C" w:rsidRPr="009B360C" w:rsidRDefault="009B360C">
      <w:pPr>
        <w:numPr>
          <w:ilvl w:val="0"/>
          <w:numId w:val="1"/>
        </w:num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 xml:space="preserve">"Нематериальные поисковые активы" (за исключением относящихся в статистике к </w:t>
      </w:r>
      <w:proofErr w:type="spellStart"/>
      <w:r w:rsidRPr="009B360C">
        <w:rPr>
          <w:rFonts w:ascii="Calibri" w:hAnsi="Calibri" w:cs="Calibri"/>
        </w:rPr>
        <w:t>непроизведенным</w:t>
      </w:r>
      <w:proofErr w:type="spellEnd"/>
      <w:r w:rsidRPr="009B360C">
        <w:rPr>
          <w:rFonts w:ascii="Calibri" w:hAnsi="Calibri" w:cs="Calibri"/>
        </w:rPr>
        <w:t xml:space="preserve"> активам прав на выполнение работ по поиску, оценке месторождений полезных ископаемых и (или) разведке полезных ископаемых, подтвержденных наличием соответствующей лицензии).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 xml:space="preserve">Не включаются в состав основных фондов объекты, учитываемые в бухгалтерском балансе в группе статей "Основные средства", статье "земельные участки и объекты природопользования"; в статистике они относятся к </w:t>
      </w:r>
      <w:proofErr w:type="spellStart"/>
      <w:r w:rsidRPr="009B360C">
        <w:rPr>
          <w:rFonts w:ascii="Calibri" w:hAnsi="Calibri" w:cs="Calibri"/>
        </w:rPr>
        <w:t>непроизведенным</w:t>
      </w:r>
      <w:proofErr w:type="spellEnd"/>
      <w:r w:rsidRPr="009B360C">
        <w:rPr>
          <w:rFonts w:ascii="Calibri" w:hAnsi="Calibri" w:cs="Calibri"/>
        </w:rPr>
        <w:t xml:space="preserve"> активам.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 xml:space="preserve">Не включаются в состав основных фондов нематериальные </w:t>
      </w:r>
      <w:proofErr w:type="spellStart"/>
      <w:r w:rsidRPr="009B360C">
        <w:rPr>
          <w:rFonts w:ascii="Calibri" w:hAnsi="Calibri" w:cs="Calibri"/>
        </w:rPr>
        <w:t>непроизведенные</w:t>
      </w:r>
      <w:proofErr w:type="spellEnd"/>
      <w:r w:rsidRPr="009B360C">
        <w:rPr>
          <w:rFonts w:ascii="Calibri" w:hAnsi="Calibri" w:cs="Calibri"/>
        </w:rPr>
        <w:t xml:space="preserve"> активы: обращающиеся контракты, договоры аренды и лицензии, а также маркетинговые активы (в том числе "торговые знаки") и </w:t>
      </w:r>
      <w:proofErr w:type="spellStart"/>
      <w:r w:rsidRPr="009B360C">
        <w:rPr>
          <w:rFonts w:ascii="Calibri" w:hAnsi="Calibri" w:cs="Calibri"/>
        </w:rPr>
        <w:t>гудвилл</w:t>
      </w:r>
      <w:proofErr w:type="spellEnd"/>
      <w:r w:rsidRPr="009B360C">
        <w:rPr>
          <w:rFonts w:ascii="Calibri" w:hAnsi="Calibri" w:cs="Calibri"/>
        </w:rPr>
        <w:t xml:space="preserve"> (деловая репутация организаций).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lastRenderedPageBreak/>
        <w:t>Не учитываются в составе основных фондов активы, отвечающие определению основных фондов, но имеющие стоимость не более 40 000 руб. за единицу, если они не отражаются в бухгалтерском учете в составе основных средств.</w:t>
      </w:r>
    </w:p>
    <w:p w:rsidR="009B360C" w:rsidRPr="009B360C" w:rsidRDefault="009B360C">
      <w:pPr>
        <w:spacing w:after="1" w:line="220" w:lineRule="atLeast"/>
        <w:jc w:val="both"/>
      </w:pPr>
    </w:p>
    <w:p w:rsidR="009B360C" w:rsidRPr="009B360C" w:rsidRDefault="009B360C">
      <w:pPr>
        <w:spacing w:after="1" w:line="220" w:lineRule="atLeast"/>
        <w:ind w:left="540"/>
        <w:jc w:val="both"/>
      </w:pPr>
      <w:r w:rsidRPr="009B360C">
        <w:rPr>
          <w:rFonts w:ascii="Calibri" w:hAnsi="Calibri" w:cs="Calibri"/>
          <w:b/>
        </w:rPr>
        <w:t>Обратите внимание!</w:t>
      </w:r>
      <w:r w:rsidRPr="009B360C">
        <w:rPr>
          <w:rFonts w:ascii="Calibri" w:hAnsi="Calibri" w:cs="Calibri"/>
        </w:rPr>
        <w:t xml:space="preserve"> С отчетности за 2022 г. применяется ФСБУ 6/2020 "Основные средства", согласно п. 3 которого организация сама определяет стоимостный порог для учета основных средств с учетом существенности информации о таких активах. Организация может принять решение о применении ФСБУ 6/2020 до указанного срока (п. 2 Приказа Минфина России от 17.09.2020 N 204н).</w:t>
      </w:r>
    </w:p>
    <w:p w:rsidR="009B360C" w:rsidRPr="009B360C" w:rsidRDefault="009B360C">
      <w:pPr>
        <w:spacing w:after="1" w:line="220" w:lineRule="atLeast"/>
        <w:jc w:val="both"/>
      </w:pPr>
    </w:p>
    <w:p w:rsidR="009B360C" w:rsidRPr="009B360C" w:rsidRDefault="009B360C">
      <w:pPr>
        <w:spacing w:after="1" w:line="220" w:lineRule="atLeast"/>
        <w:jc w:val="both"/>
      </w:pPr>
      <w:r w:rsidRPr="009B360C">
        <w:rPr>
          <w:rFonts w:ascii="Calibri" w:hAnsi="Calibri" w:cs="Calibri"/>
        </w:rPr>
        <w:t>Для проведения анализа основных фондов организации используются данные о среднегодовой стоимости основных средств. Различают данные о среднегодовой первоначальной стоимости и среднегодовой остаточной стоимости основных средств.</w:t>
      </w:r>
    </w:p>
    <w:p w:rsidR="009B360C" w:rsidRPr="009B360C" w:rsidRDefault="009B360C">
      <w:pPr>
        <w:spacing w:before="320" w:after="1" w:line="220" w:lineRule="atLeast"/>
        <w:jc w:val="both"/>
      </w:pPr>
    </w:p>
    <w:p w:rsidR="009B360C" w:rsidRPr="009B360C" w:rsidRDefault="009B360C">
      <w:pPr>
        <w:spacing w:after="1" w:line="220" w:lineRule="atLeast"/>
        <w:outlineLvl w:val="0"/>
      </w:pPr>
      <w:r w:rsidRPr="009B360C">
        <w:rPr>
          <w:rFonts w:ascii="Calibri" w:hAnsi="Calibri" w:cs="Calibri"/>
          <w:b/>
          <w:sz w:val="32"/>
        </w:rPr>
        <w:t>Расчет среднегодовой первоначальной стоимости основных средств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Источником информации для расчета среднегодовой первоначальной стоимости основных средств являются данные строки 24 статистической формы 11 "Сведения о наличии и движении основных фондов (средств) и других нефинансовых активов", утвержденной Приказом Росстата от 15.07.2020 N 384.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Порядок расчета показателя данной строки не определен Указаниями по заполнению формы федерального статистического наблюдения, утвержденными Приказом Росстата N 384, поэтому следует руководствоваться п. 31 Указаний N 717.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В соответствии с ним: среднегодовая полная учетная стоимость основных фондов определяется как частное от деления на 12 суммы, полученной от сложения половины полной учетной стоимости всех основных фондов организации (собственные и арендованные) на начало и конец отчетного года (с учетом переоценки, осуществленной по состоянию на конец отчетного года) и стоимости основных фондов на первое число каждого из всех остальных месяцев отчетного года (с учетом обесценения, учтенного к этим датам).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В виде формулы можно изобразить так:</w:t>
      </w:r>
    </w:p>
    <w:p w:rsidR="009B360C" w:rsidRPr="009B360C" w:rsidRDefault="009B360C">
      <w:pPr>
        <w:spacing w:after="1" w:line="220" w:lineRule="atLeast"/>
        <w:jc w:val="both"/>
      </w:pPr>
    </w:p>
    <w:p w:rsidR="009B360C" w:rsidRPr="009B360C" w:rsidRDefault="009B360C">
      <w:pPr>
        <w:spacing w:after="1" w:line="220" w:lineRule="atLeast"/>
        <w:jc w:val="both"/>
      </w:pPr>
      <w:r w:rsidRPr="009B360C">
        <w:rPr>
          <w:position w:val="-113"/>
        </w:rPr>
        <w:pict>
          <v:shape id="_x0000_i1025" style="width:368.25pt;height:124.5pt" coordsize="" o:spt="100" adj="0,,0" path="" filled="f" stroked="f">
            <v:stroke joinstyle="miter"/>
            <v:imagedata r:id="rId8" o:title="base_17_187617_32768"/>
            <v:formulas/>
            <v:path o:connecttype="segments"/>
          </v:shape>
        </w:pict>
      </w:r>
    </w:p>
    <w:p w:rsidR="009B360C" w:rsidRPr="009B360C" w:rsidRDefault="009B360C">
      <w:pPr>
        <w:spacing w:after="1" w:line="220" w:lineRule="atLeast"/>
        <w:jc w:val="both"/>
      </w:pPr>
    </w:p>
    <w:p w:rsidR="009B360C" w:rsidRPr="009B360C" w:rsidRDefault="009B360C">
      <w:pPr>
        <w:spacing w:after="1" w:line="220" w:lineRule="atLeast"/>
        <w:jc w:val="both"/>
      </w:pPr>
      <w:r w:rsidRPr="009B360C">
        <w:rPr>
          <w:rFonts w:ascii="Calibri" w:hAnsi="Calibri" w:cs="Calibri"/>
        </w:rPr>
        <w:t>где ПС - полная учетная стоимость основных средств.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Следует отметить, что под полной учетной стоимостью основных фондов при заполнении формы 11 "Сведения о наличии и движении основных фондов (средств) и других нефинансовых активов" понимается их первоначальная стоимость, измененная в ходе достройки, модернизации, дооборудования, реконструкции и частичной ликвидации, а также переоценки и обесценения активов, то есть амортизация не учитывается (п. 6 Указаний N 717).</w:t>
      </w:r>
    </w:p>
    <w:p w:rsidR="009B360C" w:rsidRPr="009B360C" w:rsidRDefault="009B360C">
      <w:pPr>
        <w:spacing w:before="320" w:after="1" w:line="220" w:lineRule="atLeast"/>
        <w:jc w:val="both"/>
      </w:pPr>
    </w:p>
    <w:p w:rsidR="009B360C" w:rsidRPr="009B360C" w:rsidRDefault="009B360C">
      <w:pPr>
        <w:spacing w:after="1" w:line="220" w:lineRule="atLeast"/>
        <w:outlineLvl w:val="0"/>
      </w:pPr>
      <w:r w:rsidRPr="009B360C">
        <w:rPr>
          <w:rFonts w:ascii="Calibri" w:hAnsi="Calibri" w:cs="Calibri"/>
          <w:b/>
          <w:sz w:val="32"/>
        </w:rPr>
        <w:lastRenderedPageBreak/>
        <w:t>Расчет среднегодовой остаточной стоимости основных средств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Для расчета среднегодовой остаточной стоимости основных средств используются данные бухгалтерского баланса. При этом данные бухгалтерского баланса отражают только собственные основные средства.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Остаточная балансовая стоимость основных фондов отражает изменение состояния основных фондов, постепенную утрату ими потребительских свойств и стоимости в процессе эксплуатации, под воздействием сил природы и вследствие технического прогресса, в размере накопленного износа. При этом величина износа определяется в соответствии с нормами и методами начисления амортизации и износа, применяемыми в бухгалтерском учете.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Остаточная балансовая стоимость основных фондов равна их первоначальной стоимости, измененной в ходе достройки, модернизации, дооборудования, реконструкции и частичной ликвидации, переоценки и обесценения, за вычетом начисленной амортизации (износа).</w:t>
      </w:r>
    </w:p>
    <w:p w:rsidR="009B360C" w:rsidRPr="009B360C" w:rsidRDefault="009B360C">
      <w:pPr>
        <w:spacing w:before="220" w:after="1" w:line="220" w:lineRule="atLeast"/>
        <w:jc w:val="both"/>
      </w:pPr>
      <w:r w:rsidRPr="009B360C">
        <w:rPr>
          <w:rFonts w:ascii="Calibri" w:hAnsi="Calibri" w:cs="Calibri"/>
        </w:rPr>
        <w:t>Таким образом, остаточная балансовая стоимость основных фондов равна разнице их полной учетной стоимости и сумм учетного износа, начисленных (определенных) за весь период с начала эксплуатации соответствующих объектов, с учетом их изменений в результате проведенных переоценок и обесценений.</w:t>
      </w:r>
    </w:p>
    <w:sectPr w:rsidR="009B360C" w:rsidRPr="009B360C" w:rsidSect="009B360C">
      <w:footerReference w:type="default" r:id="rId9"/>
      <w:pgSz w:w="11906" w:h="16838"/>
      <w:pgMar w:top="993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A3B" w:rsidRDefault="00D81A3B" w:rsidP="009B360C">
      <w:pPr>
        <w:spacing w:after="0" w:line="240" w:lineRule="auto"/>
      </w:pPr>
      <w:r>
        <w:separator/>
      </w:r>
    </w:p>
  </w:endnote>
  <w:endnote w:type="continuationSeparator" w:id="0">
    <w:p w:rsidR="00D81A3B" w:rsidRDefault="00D81A3B" w:rsidP="009B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323873"/>
      <w:docPartObj>
        <w:docPartGallery w:val="Общ"/>
        <w:docPartUnique/>
      </w:docPartObj>
    </w:sdtPr>
    <w:sdtContent>
      <w:p w:rsidR="009B360C" w:rsidRDefault="009B360C">
        <w:pPr>
          <w:pStyle w:val="a7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9B360C" w:rsidRDefault="009B360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A3B" w:rsidRDefault="00D81A3B" w:rsidP="009B360C">
      <w:pPr>
        <w:spacing w:after="0" w:line="240" w:lineRule="auto"/>
      </w:pPr>
      <w:r>
        <w:separator/>
      </w:r>
    </w:p>
  </w:footnote>
  <w:footnote w:type="continuationSeparator" w:id="0">
    <w:p w:rsidR="00D81A3B" w:rsidRDefault="00D81A3B" w:rsidP="009B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B6C1D"/>
    <w:multiLevelType w:val="multilevel"/>
    <w:tmpl w:val="DBF4C00E"/>
    <w:lvl w:ilvl="0">
      <w:start w:val="1"/>
      <w:numFmt w:val="russianLower"/>
      <w:lvlText w:val="%1)"/>
      <w:lvlJc w:val="left"/>
      <w:pPr>
        <w:tabs>
          <w:tab w:val="num" w:pos="540"/>
        </w:tabs>
        <w:ind w:left="54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360C"/>
    <w:rsid w:val="00246EBD"/>
    <w:rsid w:val="009B360C"/>
    <w:rsid w:val="00C41D1E"/>
    <w:rsid w:val="00D81A3B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3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360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B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360C"/>
  </w:style>
  <w:style w:type="paragraph" w:styleId="a7">
    <w:name w:val="footer"/>
    <w:basedOn w:val="a"/>
    <w:link w:val="a8"/>
    <w:uiPriority w:val="99"/>
    <w:unhideWhenUsed/>
    <w:rsid w:val="009B36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360C"/>
  </w:style>
  <w:style w:type="character" w:styleId="a9">
    <w:name w:val="Hyperlink"/>
    <w:basedOn w:val="a0"/>
    <w:uiPriority w:val="99"/>
    <w:unhideWhenUsed/>
    <w:rsid w:val="009B36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ssessor.ru/notebook/buhuchet/uchet-osnovnyh-sredst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957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2021-02-27T08:24:00Z</dcterms:created>
  <dcterms:modified xsi:type="dcterms:W3CDTF">2021-02-27T08:34:00Z</dcterms:modified>
</cp:coreProperties>
</file>